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6"/>
          <w:szCs w:val="36"/>
          <w:lang w:val="en-US" w:eastAsia="zh-CN"/>
        </w:rPr>
        <w:t>襄水岸线修复生态提升工程子项-堰塘渔村至宋包水库补水工程一体化泵站采购澄清公告</w:t>
      </w:r>
    </w:p>
    <w:p/>
    <w:p>
      <w:pPr>
        <w:spacing w:line="360" w:lineRule="auto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各供应商：</w:t>
      </w:r>
    </w:p>
    <w:p>
      <w:pPr>
        <w:numPr>
          <w:numId w:val="0"/>
        </w:numPr>
        <w:spacing w:line="360" w:lineRule="auto"/>
        <w:ind w:firstLine="480" w:firstLineChars="200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根据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《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襄水岸线修复生态提升工程子项-堰塘渔村至宋包水库补水工程一体化泵站采购文件》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采购内容，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现做如下澄清修改：</w:t>
      </w:r>
    </w:p>
    <w:p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</w:p>
    <w:tbl>
      <w:tblPr>
        <w:tblStyle w:val="6"/>
        <w:tblW w:w="92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250"/>
        <w:gridCol w:w="2059"/>
        <w:gridCol w:w="5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15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条款号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评审因素</w:t>
            </w:r>
          </w:p>
        </w:tc>
        <w:tc>
          <w:tcPr>
            <w:tcW w:w="50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评审标准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1.1</w:t>
            </w:r>
          </w:p>
        </w:tc>
        <w:tc>
          <w:tcPr>
            <w:tcW w:w="125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符合性审查标准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签字盖章</w:t>
            </w:r>
          </w:p>
        </w:tc>
        <w:tc>
          <w:tcPr>
            <w:tcW w:w="50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符合采购的要求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25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信誉情况</w:t>
            </w:r>
          </w:p>
        </w:tc>
        <w:tc>
          <w:tcPr>
            <w:tcW w:w="50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无不良经济纠纷记录和违法行为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25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05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采购需求响应</w:t>
            </w:r>
          </w:p>
        </w:tc>
        <w:tc>
          <w:tcPr>
            <w:tcW w:w="50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满足采购文件实质性响应内容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25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05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50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无采购人不能接受的条件的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25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其他要求</w:t>
            </w:r>
          </w:p>
        </w:tc>
        <w:tc>
          <w:tcPr>
            <w:tcW w:w="50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符合采购文件中的其他规定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1.2</w:t>
            </w:r>
          </w:p>
        </w:tc>
        <w:tc>
          <w:tcPr>
            <w:tcW w:w="125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资格性审查标准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供应商资格要求</w:t>
            </w:r>
          </w:p>
        </w:tc>
        <w:tc>
          <w:tcPr>
            <w:tcW w:w="50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符合采购文件中规定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25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其他要求</w:t>
            </w:r>
          </w:p>
        </w:tc>
        <w:tc>
          <w:tcPr>
            <w:tcW w:w="50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符合采购文件中的其他规定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评标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评分因素</w:t>
            </w:r>
          </w:p>
        </w:tc>
        <w:tc>
          <w:tcPr>
            <w:tcW w:w="50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报价部分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（60分）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报价得分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（6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分）</w:t>
            </w:r>
          </w:p>
        </w:tc>
        <w:tc>
          <w:tcPr>
            <w:tcW w:w="50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满足要求的有效报价的最低值为评审基准价。其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报价得分计算公式为：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投标报价得分=基准价/投标价*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FF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5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商务部分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（30分）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综合实力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分）</w:t>
            </w:r>
          </w:p>
        </w:tc>
        <w:tc>
          <w:tcPr>
            <w:tcW w:w="50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根据货物生产厂家企业实力、品牌知名度等进行横向比较，得0-20分（响应单位可提供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生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产厂家的获得荣誉及奖项、生产能力、产品检验能力、研发能力、产品检测报告等资料）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color w:val="0000FF"/>
                <w:highlight w:val="none"/>
              </w:rPr>
            </w:pPr>
          </w:p>
        </w:tc>
        <w:tc>
          <w:tcPr>
            <w:tcW w:w="125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企业业绩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（10分）</w:t>
            </w:r>
          </w:p>
        </w:tc>
        <w:tc>
          <w:tcPr>
            <w:tcW w:w="50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供应商近3年内（申请文件递交截止时间前36个月）承接过类似项目。每有一个得5分，最多得10分。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color w:val="0000FF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技术部分（10分）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供货方案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（10分）</w:t>
            </w:r>
          </w:p>
        </w:tc>
        <w:tc>
          <w:tcPr>
            <w:tcW w:w="5074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pacing w:val="-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highlight w:val="none"/>
              </w:rPr>
              <w:t>1.供货响应时间、货物运输保障方案较可行的、售后保障体系、保障措施及服务能力较完善的，得0-5分；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highlight w:val="none"/>
              </w:rPr>
              <w:t>2.供货响应时间、货物运输保障方案可行的、售后保障体系、保障措施及服务能力完善的，得6-10分；</w:t>
            </w:r>
          </w:p>
        </w:tc>
      </w:tr>
    </w:tbl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特此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公告。</w:t>
      </w:r>
    </w:p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</w:p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采购人：汉江城建集团有限公司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襄水岸线修复生态提升工程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项目部</w:t>
      </w:r>
    </w:p>
    <w:p>
      <w:pPr>
        <w:spacing w:line="360" w:lineRule="auto"/>
        <w:ind w:firstLine="480" w:firstLineChars="200"/>
        <w:rPr>
          <w:rFonts w:hint="default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地    址：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樊城区火炬路6-3号</w:t>
      </w:r>
    </w:p>
    <w:p>
      <w:pPr>
        <w:spacing w:line="360" w:lineRule="auto"/>
        <w:ind w:firstLine="480" w:firstLineChars="200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联 系 人：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程鹏飞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hint="default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电    话：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18671941870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92F76"/>
    <w:rsid w:val="0B753EC1"/>
    <w:rsid w:val="0CC912DC"/>
    <w:rsid w:val="0F543E6B"/>
    <w:rsid w:val="110A6D9D"/>
    <w:rsid w:val="1A826B60"/>
    <w:rsid w:val="1AD64A74"/>
    <w:rsid w:val="1ADF09B7"/>
    <w:rsid w:val="1CDB09C3"/>
    <w:rsid w:val="252358AC"/>
    <w:rsid w:val="315F5096"/>
    <w:rsid w:val="35655659"/>
    <w:rsid w:val="4B0974CB"/>
    <w:rsid w:val="4D3329F3"/>
    <w:rsid w:val="55C97E1C"/>
    <w:rsid w:val="5DC96168"/>
    <w:rsid w:val="61C85B77"/>
    <w:rsid w:val="6B2E6850"/>
    <w:rsid w:val="6D7B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4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eastAsia="仿宋"/>
      <w:b/>
      <w:bCs/>
      <w:kern w:val="44"/>
      <w:sz w:val="44"/>
      <w:szCs w:val="44"/>
    </w:rPr>
  </w:style>
  <w:style w:type="paragraph" w:styleId="4">
    <w:name w:val="heading 2"/>
    <w:basedOn w:val="1"/>
    <w:next w:val="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outlineLvl w:val="2"/>
    </w:pPr>
    <w:rPr>
      <w:b/>
      <w:bCs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Calibri" w:eastAsia="宋体" w:cs="Times New Roman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2021-03-02T01:29:00Z</dcterms:created>
  <dc:creator>Administrator</dc:creator>
  <cp:lastModifiedBy>Administrator</cp:lastModifiedBy>
  <cp:lastPrinted>2021-03-02T03:38:00Z</cp:lastPrinted>
  <dcterms:modified xsi:type="dcterms:W3CDTF">2022-01-20T07:44:09Z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1BFB34F50A754C7CB7F5A2AED71059FD</vt:lpwstr>
  </property>
</Properties>
</file>